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3A13DCBA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C5299" w:rsidRPr="00EC5299">
        <w:rPr>
          <w:rFonts w:ascii="Arial" w:hAnsi="Arial" w:cs="Arial"/>
          <w:b/>
          <w:bCs/>
          <w:sz w:val="22"/>
          <w:szCs w:val="22"/>
        </w:rPr>
        <w:t>S3-260244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65FCD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622BE">
        <w:rPr>
          <w:rFonts w:ascii="Arial" w:hAnsi="Arial"/>
          <w:b/>
          <w:lang w:val="en-US"/>
        </w:rPr>
        <w:t>Lenovo, Motorola Mobility</w:t>
      </w:r>
    </w:p>
    <w:p w14:paraId="5D241433" w14:textId="53A68F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58E3">
        <w:rPr>
          <w:rFonts w:ascii="Arial" w:hAnsi="Arial" w:cs="Arial"/>
          <w:b/>
        </w:rPr>
        <w:t xml:space="preserve">Discussion Paper to update the TR </w:t>
      </w:r>
      <w:r w:rsidR="002D3FD6">
        <w:rPr>
          <w:rFonts w:ascii="Arial" w:hAnsi="Arial" w:cs="Arial"/>
          <w:b/>
        </w:rPr>
        <w:t xml:space="preserve">33.786 </w:t>
      </w:r>
      <w:r w:rsidR="00EC58E3">
        <w:rPr>
          <w:rFonts w:ascii="Arial" w:hAnsi="Arial" w:cs="Arial"/>
          <w:b/>
        </w:rPr>
        <w:t>Approval Timeline</w:t>
      </w:r>
    </w:p>
    <w:p w14:paraId="4C27C06B" w14:textId="05464A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48AD4A6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17D2C">
        <w:rPr>
          <w:rFonts w:ascii="Arial" w:hAnsi="Arial"/>
          <w:b/>
        </w:rPr>
        <w:t>6.3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DFBCCD0" w:rsidR="00C022E3" w:rsidRDefault="009C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EC58E3">
        <w:rPr>
          <w:b/>
          <w:i/>
        </w:rPr>
        <w:t xml:space="preserve">provides the justification to </w:t>
      </w:r>
      <w:r w:rsidR="00EC58E3" w:rsidRPr="00EC58E3">
        <w:rPr>
          <w:b/>
          <w:i/>
        </w:rPr>
        <w:t xml:space="preserve">update the TR Approval Timeline </w:t>
      </w:r>
      <w:r w:rsidR="00EC58E3">
        <w:rPr>
          <w:b/>
          <w:i/>
        </w:rPr>
        <w:t>of TR 33.786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11F3490" w14:textId="10B54853" w:rsidR="00D261CA" w:rsidRDefault="00D261CA" w:rsidP="00D261CA">
      <w:pPr>
        <w:pStyle w:val="Reference"/>
        <w:rPr>
          <w:color w:val="000000" w:themeColor="text1"/>
        </w:rPr>
      </w:pPr>
      <w:r>
        <w:rPr>
          <w:lang w:val="en-IN"/>
        </w:rPr>
        <w:t>[</w:t>
      </w:r>
      <w:r w:rsidR="00EC58E3">
        <w:rPr>
          <w:lang w:val="en-IN"/>
        </w:rPr>
        <w:t>1</w:t>
      </w:r>
      <w:r>
        <w:rPr>
          <w:lang w:val="en-IN"/>
        </w:rPr>
        <w:t>]</w:t>
      </w:r>
      <w:r>
        <w:rPr>
          <w:lang w:val="en-IN"/>
        </w:rPr>
        <w:tab/>
        <w:t xml:space="preserve">3GPP TR 33.786, </w:t>
      </w:r>
      <w:r w:rsidRPr="006D70D9">
        <w:rPr>
          <w:color w:val="000000" w:themeColor="text1"/>
        </w:rPr>
        <w:t>"</w:t>
      </w:r>
      <w:r w:rsidRPr="00404BED">
        <w:rPr>
          <w:color w:val="000000" w:themeColor="text1"/>
        </w:rPr>
        <w:t>Study on AIML Enablement Service Security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 Release-20.</w:t>
      </w:r>
    </w:p>
    <w:p w14:paraId="75B0FCB6" w14:textId="0B6234F3" w:rsidR="008A65F6" w:rsidRDefault="008A65F6" w:rsidP="0048135E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EC58E3">
        <w:rPr>
          <w:color w:val="000000" w:themeColor="text1"/>
        </w:rPr>
        <w:t>2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 xml:space="preserve">3GPP TR 23.700-83, </w:t>
      </w:r>
      <w:r w:rsidRPr="006D70D9">
        <w:rPr>
          <w:color w:val="000000" w:themeColor="text1"/>
        </w:rPr>
        <w:t>"</w:t>
      </w:r>
      <w:r w:rsidR="0048135E" w:rsidRPr="0048135E">
        <w:rPr>
          <w:color w:val="000000" w:themeColor="text1"/>
        </w:rPr>
        <w:t>Study on application layer support for AI/ML services Phase 2;</w:t>
      </w:r>
      <w:r w:rsidR="0048135E">
        <w:rPr>
          <w:color w:val="000000" w:themeColor="text1"/>
        </w:rPr>
        <w:t xml:space="preserve"> </w:t>
      </w:r>
      <w:r w:rsidR="0048135E" w:rsidRPr="0048135E">
        <w:rPr>
          <w:color w:val="000000" w:themeColor="text1"/>
        </w:rPr>
        <w:t>(Release 20)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.</w:t>
      </w:r>
    </w:p>
    <w:p w14:paraId="5F821A65" w14:textId="2D438661" w:rsidR="0058708B" w:rsidRPr="0058708B" w:rsidRDefault="0058708B" w:rsidP="0048135E">
      <w:pPr>
        <w:pStyle w:val="Reference"/>
        <w:rPr>
          <w:lang w:val="en-US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</w:r>
      <w:r w:rsidRPr="0058708B">
        <w:rPr>
          <w:color w:val="000000" w:themeColor="text1"/>
        </w:rPr>
        <w:t>SP-251238</w:t>
      </w:r>
      <w:r>
        <w:rPr>
          <w:color w:val="000000" w:themeColor="text1"/>
        </w:rPr>
        <w:t xml:space="preserve">, </w:t>
      </w:r>
      <w:r w:rsidRPr="006D70D9">
        <w:rPr>
          <w:color w:val="000000" w:themeColor="text1"/>
        </w:rPr>
        <w:t>"</w:t>
      </w:r>
      <w:r w:rsidRPr="0058708B">
        <w:rPr>
          <w:color w:val="000000" w:themeColor="text1"/>
        </w:rPr>
        <w:t>Study on AIMLE Service Security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.</w:t>
      </w:r>
    </w:p>
    <w:p w14:paraId="6FE19FE0" w14:textId="3E6F018A" w:rsidR="00C022E3" w:rsidRDefault="00C022E3">
      <w:pPr>
        <w:pStyle w:val="Heading1"/>
      </w:pPr>
      <w:r>
        <w:t>3</w:t>
      </w:r>
      <w:r>
        <w:tab/>
      </w:r>
      <w:r w:rsidR="00EC58E3">
        <w:t>Justification</w:t>
      </w:r>
    </w:p>
    <w:p w14:paraId="0FC8704B" w14:textId="4C503638" w:rsidR="00EC58E3" w:rsidRDefault="00EC58E3" w:rsidP="00E70EE5">
      <w:pPr>
        <w:jc w:val="both"/>
        <w:rPr>
          <w:i/>
        </w:rPr>
      </w:pPr>
      <w:r>
        <w:rPr>
          <w:i/>
        </w:rPr>
        <w:t>In SA6 Rel.20 TR 23.700-83 [3], ‘</w:t>
      </w:r>
      <w:r w:rsidRPr="009D0241">
        <w:rPr>
          <w:i/>
        </w:rPr>
        <w:t>Key issue #1: Key issue on support for ML model inference</w:t>
      </w:r>
      <w:r>
        <w:rPr>
          <w:i/>
        </w:rPr>
        <w:t>’ addresses the following aspects such as (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) support of ML model inference in enablement layer, (ii) how AIMLE is </w:t>
      </w:r>
      <w:proofErr w:type="spellStart"/>
      <w:r>
        <w:rPr>
          <w:i/>
        </w:rPr>
        <w:t>enahced</w:t>
      </w:r>
      <w:proofErr w:type="spellEnd"/>
      <w:r>
        <w:rPr>
          <w:i/>
        </w:rPr>
        <w:t xml:space="preserve"> to enable ML model inference to address VAL request, (iii) to enhance AIMLE to support model inference in edge scenarios etc. where the all the solutions addressing KI#1 (i.e., Sol#1, Sol#17) goes in the similar approach like AIMLE procedures specified in TS 23.482 [1], i.e.., AIMLE Server provides ML model inference request/response services to Consumer (e.g., VAL Server, AIMLE Client) based on Authorization Check. Additionally, KI#5 describes AI Inference Exposure, and the related solution #25 covers the AIMLE Server providing ML model inference service to VAL server based on authorization check. Hence based on the SA6 Rel.20 progress, </w:t>
      </w:r>
      <w:r w:rsidR="0058708B">
        <w:rPr>
          <w:i/>
        </w:rPr>
        <w:t>an EN was placed in the SA3 for the related</w:t>
      </w:r>
      <w:r>
        <w:rPr>
          <w:i/>
        </w:rPr>
        <w:t xml:space="preserve"> KI#1</w:t>
      </w:r>
      <w:r w:rsidR="00435B9D">
        <w:rPr>
          <w:i/>
        </w:rPr>
        <w:t xml:space="preserve"> </w:t>
      </w:r>
      <w:r>
        <w:rPr>
          <w:i/>
        </w:rPr>
        <w:t xml:space="preserve">to </w:t>
      </w:r>
      <w:r w:rsidR="00435B9D">
        <w:rPr>
          <w:i/>
        </w:rPr>
        <w:t>address</w:t>
      </w:r>
      <w:r>
        <w:rPr>
          <w:i/>
        </w:rPr>
        <w:t xml:space="preserve"> the additional AIMLE services related authorization aspects</w:t>
      </w:r>
      <w:r w:rsidR="00435B9D">
        <w:rPr>
          <w:i/>
        </w:rPr>
        <w:t xml:space="preserve">. </w:t>
      </w:r>
      <w:r>
        <w:rPr>
          <w:i/>
        </w:rPr>
        <w:t xml:space="preserve"> </w:t>
      </w:r>
    </w:p>
    <w:p w14:paraId="6CB86A91" w14:textId="1D1AC7EA" w:rsidR="00C022E3" w:rsidRDefault="00EC58E3" w:rsidP="00E70EE5">
      <w:pPr>
        <w:jc w:val="both"/>
        <w:rPr>
          <w:rFonts w:eastAsia="DengXian"/>
        </w:rPr>
      </w:pPr>
      <w:r>
        <w:rPr>
          <w:rFonts w:eastAsia="DengXian"/>
        </w:rPr>
        <w:t>SA3 Rel.20 TR 33.786 [1] has a ‘</w:t>
      </w:r>
      <w:r w:rsidRPr="000D2FA3">
        <w:rPr>
          <w:rFonts w:eastAsia="DengXian"/>
        </w:rPr>
        <w:t>Key Issue</w:t>
      </w:r>
      <w:r>
        <w:rPr>
          <w:rFonts w:eastAsia="DengXian"/>
        </w:rPr>
        <w:t xml:space="preserve"> #1:</w:t>
      </w:r>
      <w:r w:rsidRPr="000D2FA3">
        <w:rPr>
          <w:rFonts w:eastAsia="DengXian"/>
        </w:rPr>
        <w:t xml:space="preserve">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members’, which has the following EN</w:t>
      </w:r>
      <w:r w:rsidR="0058708B">
        <w:rPr>
          <w:rFonts w:eastAsia="DengXian"/>
        </w:rPr>
        <w:t>.</w:t>
      </w:r>
    </w:p>
    <w:p w14:paraId="1B64D849" w14:textId="5665F62D" w:rsidR="00435B9D" w:rsidRPr="00435B9D" w:rsidRDefault="00435B9D">
      <w:pPr>
        <w:rPr>
          <w:b/>
          <w:bCs/>
          <w:iCs/>
          <w:u w:val="single"/>
          <w:lang w:val="en-US"/>
        </w:rPr>
      </w:pPr>
      <w:r w:rsidRPr="00435B9D">
        <w:rPr>
          <w:b/>
          <w:bCs/>
          <w:u w:val="single"/>
          <w:lang w:val="fr-FR"/>
        </w:rPr>
        <w:t>Snippet#</w:t>
      </w:r>
      <w:r>
        <w:rPr>
          <w:b/>
          <w:bCs/>
          <w:u w:val="single"/>
          <w:lang w:val="fr-FR"/>
        </w:rPr>
        <w:t>1</w:t>
      </w:r>
      <w:r w:rsidR="00E70EE5">
        <w:rPr>
          <w:b/>
          <w:bCs/>
          <w:u w:val="single"/>
          <w:lang w:val="fr-FR"/>
        </w:rPr>
        <w:t xml:space="preserve"> </w:t>
      </w:r>
      <w:proofErr w:type="spellStart"/>
      <w:r w:rsidR="00E70EE5">
        <w:rPr>
          <w:b/>
          <w:bCs/>
          <w:u w:val="single"/>
          <w:lang w:val="fr-FR"/>
        </w:rPr>
        <w:t>from</w:t>
      </w:r>
      <w:proofErr w:type="spellEnd"/>
      <w:r w:rsidR="00E70EE5">
        <w:rPr>
          <w:b/>
          <w:bCs/>
          <w:u w:val="single"/>
          <w:lang w:val="fr-FR"/>
        </w:rPr>
        <w:t xml:space="preserve"> SA3 TR 33.786 [1]</w:t>
      </w:r>
    </w:p>
    <w:p w14:paraId="3C54F8FE" w14:textId="7E430897" w:rsidR="00EC58E3" w:rsidRPr="0058708B" w:rsidRDefault="00EC58E3" w:rsidP="0058708B">
      <w:pPr>
        <w:pStyle w:val="EditorsNote"/>
        <w:rPr>
          <w:sz w:val="21"/>
          <w:szCs w:val="21"/>
          <w:lang w:eastAsia="zh-CN"/>
        </w:rPr>
      </w:pPr>
      <w:r>
        <w:rPr>
          <w:lang w:eastAsia="zh-CN"/>
        </w:rPr>
        <w:t>Editor’s Note 1: Rel-20 related security aspects need to consider and align with the conclusions in TR 23.700-83 [4] is FFS.</w:t>
      </w:r>
    </w:p>
    <w:p w14:paraId="798F3321" w14:textId="20A20806" w:rsidR="00EC58E3" w:rsidRDefault="00EC58E3" w:rsidP="00E70EE5">
      <w:pPr>
        <w:jc w:val="both"/>
        <w:rPr>
          <w:lang w:val="fr-FR"/>
        </w:rPr>
      </w:pPr>
      <w:r w:rsidRPr="00EC58E3">
        <w:rPr>
          <w:iCs/>
          <w:lang w:val="en-US"/>
        </w:rPr>
        <w:t xml:space="preserve">Whereas SA6 Rel.20 </w:t>
      </w:r>
      <w:r w:rsidRPr="00EC58E3">
        <w:rPr>
          <w:iCs/>
          <w:color w:val="000000" w:themeColor="text1"/>
          <w:lang w:val="en-US"/>
        </w:rPr>
        <w:t xml:space="preserve">TR 23.700-83 [2] conclusion on Key Issue #1 and Key Issue #5 </w:t>
      </w:r>
      <w:r w:rsidR="006806CE">
        <w:rPr>
          <w:iCs/>
          <w:color w:val="000000" w:themeColor="text1"/>
          <w:lang w:val="en-US"/>
        </w:rPr>
        <w:t>are</w:t>
      </w:r>
      <w:r w:rsidRPr="00EC58E3">
        <w:rPr>
          <w:iCs/>
          <w:color w:val="000000" w:themeColor="text1"/>
          <w:lang w:val="en-US"/>
        </w:rPr>
        <w:t xml:space="preserve"> yet to be completed</w:t>
      </w:r>
      <w:r w:rsidR="006806CE">
        <w:rPr>
          <w:iCs/>
          <w:color w:val="000000" w:themeColor="text1"/>
          <w:lang w:val="en-US"/>
        </w:rPr>
        <w:t xml:space="preserve"> as shown in Snippet#2</w:t>
      </w:r>
      <w:r w:rsidR="0058708B">
        <w:rPr>
          <w:iCs/>
          <w:color w:val="000000" w:themeColor="text1"/>
          <w:lang w:val="en-US"/>
        </w:rPr>
        <w:t>.</w:t>
      </w:r>
      <w:r w:rsidR="006806CE">
        <w:rPr>
          <w:iCs/>
          <w:color w:val="000000" w:themeColor="text1"/>
          <w:lang w:val="en-US"/>
        </w:rPr>
        <w:t xml:space="preserve"> Where</w:t>
      </w:r>
      <w:r w:rsidR="00435B9D">
        <w:rPr>
          <w:iCs/>
          <w:color w:val="000000" w:themeColor="text1"/>
          <w:lang w:val="en-US"/>
        </w:rPr>
        <w:t>as as per</w:t>
      </w:r>
      <w:r w:rsidR="006806CE">
        <w:rPr>
          <w:iCs/>
          <w:color w:val="000000" w:themeColor="text1"/>
          <w:lang w:val="en-US"/>
        </w:rPr>
        <w:t xml:space="preserve"> the expected output and time scale</w:t>
      </w:r>
      <w:r w:rsidR="00435B9D">
        <w:rPr>
          <w:iCs/>
          <w:color w:val="000000" w:themeColor="text1"/>
          <w:lang w:val="en-US"/>
        </w:rPr>
        <w:t xml:space="preserve"> in SP-251238 [3]</w:t>
      </w:r>
      <w:r w:rsidR="006806CE">
        <w:rPr>
          <w:iCs/>
          <w:color w:val="000000" w:themeColor="text1"/>
          <w:lang w:val="en-US"/>
        </w:rPr>
        <w:t>, TR</w:t>
      </w:r>
      <w:r w:rsidR="00435B9D">
        <w:rPr>
          <w:iCs/>
          <w:color w:val="000000" w:themeColor="text1"/>
          <w:lang w:val="en-US"/>
        </w:rPr>
        <w:t xml:space="preserve"> 33.786’s</w:t>
      </w:r>
      <w:r w:rsidR="006806CE">
        <w:rPr>
          <w:iCs/>
          <w:color w:val="000000" w:themeColor="text1"/>
          <w:lang w:val="en-US"/>
        </w:rPr>
        <w:t xml:space="preserve"> approval </w:t>
      </w:r>
      <w:proofErr w:type="gramStart"/>
      <w:r w:rsidR="006806CE">
        <w:rPr>
          <w:iCs/>
          <w:color w:val="000000" w:themeColor="text1"/>
          <w:lang w:val="en-US"/>
        </w:rPr>
        <w:t>has to</w:t>
      </w:r>
      <w:proofErr w:type="gramEnd"/>
      <w:r w:rsidR="006806CE">
        <w:rPr>
          <w:iCs/>
          <w:color w:val="000000" w:themeColor="text1"/>
          <w:lang w:val="en-US"/>
        </w:rPr>
        <w:t xml:space="preserve"> be at TSG SA#111</w:t>
      </w:r>
      <w:r w:rsidR="00E70EE5">
        <w:rPr>
          <w:iCs/>
          <w:color w:val="000000" w:themeColor="text1"/>
          <w:lang w:val="en-US"/>
        </w:rPr>
        <w:t xml:space="preserve"> in March 2026</w:t>
      </w:r>
      <w:r w:rsidR="006806CE">
        <w:rPr>
          <w:iCs/>
          <w:color w:val="000000" w:themeColor="text1"/>
          <w:lang w:val="en-US"/>
        </w:rPr>
        <w:t xml:space="preserve">. </w:t>
      </w:r>
      <w:r w:rsidR="0058708B">
        <w:rPr>
          <w:iCs/>
          <w:color w:val="000000" w:themeColor="text1"/>
          <w:lang w:val="en-US"/>
        </w:rPr>
        <w:t xml:space="preserve"> H</w:t>
      </w:r>
      <w:r w:rsidRPr="00EC58E3">
        <w:rPr>
          <w:iCs/>
          <w:color w:val="000000" w:themeColor="text1"/>
          <w:lang w:val="en-US"/>
        </w:rPr>
        <w:t>ence the re</w:t>
      </w:r>
      <w:r>
        <w:rPr>
          <w:iCs/>
          <w:color w:val="000000" w:themeColor="text1"/>
          <w:lang w:val="en-US"/>
        </w:rPr>
        <w:t>solution of EN1 requires at</w:t>
      </w:r>
      <w:r w:rsidR="00E70EE5">
        <w:rPr>
          <w:iCs/>
          <w:color w:val="000000" w:themeColor="text1"/>
          <w:lang w:val="en-US"/>
        </w:rPr>
        <w:t xml:space="preserve"> </w:t>
      </w:r>
      <w:r>
        <w:rPr>
          <w:iCs/>
          <w:color w:val="000000" w:themeColor="text1"/>
          <w:lang w:val="en-US"/>
        </w:rPr>
        <w:t xml:space="preserve">least 1 more meeting cycle to align with progress of SA6. </w:t>
      </w:r>
      <w:r w:rsidR="00435B9D">
        <w:rPr>
          <w:iCs/>
          <w:color w:val="000000" w:themeColor="text1"/>
          <w:lang w:val="en-US"/>
        </w:rPr>
        <w:t>Therefore</w:t>
      </w:r>
      <w:r w:rsidR="00E70EE5">
        <w:rPr>
          <w:iCs/>
          <w:color w:val="000000" w:themeColor="text1"/>
          <w:lang w:val="en-US"/>
        </w:rPr>
        <w:t>,</w:t>
      </w:r>
      <w:r w:rsidR="00435B9D">
        <w:rPr>
          <w:iCs/>
          <w:color w:val="000000" w:themeColor="text1"/>
          <w:lang w:val="en-US"/>
        </w:rPr>
        <w:t xml:space="preserve"> this discussion paper highlights the need to update the Expected Output and Time Scale </w:t>
      </w:r>
      <w:r w:rsidR="00E70EE5">
        <w:rPr>
          <w:iCs/>
          <w:color w:val="000000" w:themeColor="text1"/>
          <w:lang w:val="en-US"/>
        </w:rPr>
        <w:t xml:space="preserve">for </w:t>
      </w:r>
      <w:r w:rsidR="00E70EE5">
        <w:t>TSG info and approval of TR 33.786</w:t>
      </w:r>
      <w:r w:rsidR="00435B9D">
        <w:rPr>
          <w:lang w:val="fr-FR"/>
        </w:rPr>
        <w:t>.</w:t>
      </w:r>
    </w:p>
    <w:p w14:paraId="58540AD4" w14:textId="30067EF6" w:rsidR="00435B9D" w:rsidRPr="00435B9D" w:rsidRDefault="00435B9D">
      <w:pPr>
        <w:rPr>
          <w:b/>
          <w:bCs/>
          <w:iCs/>
          <w:u w:val="single"/>
          <w:lang w:val="en-US"/>
        </w:rPr>
      </w:pPr>
      <w:r w:rsidRPr="00435B9D">
        <w:rPr>
          <w:b/>
          <w:bCs/>
          <w:u w:val="single"/>
          <w:lang w:val="fr-FR"/>
        </w:rPr>
        <w:t>Snippet#2</w:t>
      </w:r>
      <w:r w:rsidR="00E70EE5">
        <w:rPr>
          <w:b/>
          <w:bCs/>
          <w:u w:val="single"/>
          <w:lang w:val="fr-FR"/>
        </w:rPr>
        <w:t xml:space="preserve"> </w:t>
      </w:r>
      <w:proofErr w:type="spellStart"/>
      <w:r w:rsidR="00E70EE5">
        <w:rPr>
          <w:b/>
          <w:bCs/>
          <w:u w:val="single"/>
          <w:lang w:val="fr-FR"/>
        </w:rPr>
        <w:t>from</w:t>
      </w:r>
      <w:proofErr w:type="spellEnd"/>
      <w:r w:rsidR="00E70EE5">
        <w:rPr>
          <w:b/>
          <w:bCs/>
          <w:u w:val="single"/>
          <w:lang w:val="fr-FR"/>
        </w:rPr>
        <w:t xml:space="preserve"> SA6 TR 23.700-83 [2]</w:t>
      </w:r>
    </w:p>
    <w:p w14:paraId="7A76B990" w14:textId="77777777" w:rsidR="00EC58E3" w:rsidRDefault="00EC58E3" w:rsidP="00EC58E3">
      <w:pPr>
        <w:pStyle w:val="Heading2"/>
      </w:pPr>
      <w:bookmarkStart w:id="0" w:name="_Toc214968179"/>
      <w:bookmarkStart w:id="1" w:name="_Toc215591772"/>
      <w:r w:rsidRPr="002E5BBA">
        <w:t>11.2</w:t>
      </w:r>
      <w:r w:rsidRPr="002E5BBA">
        <w:tab/>
        <w:t>Conclusions of key issue</w:t>
      </w:r>
      <w:r>
        <w:t> </w:t>
      </w:r>
      <w:r w:rsidRPr="002E5BBA">
        <w:t>#</w:t>
      </w:r>
      <w:r>
        <w:t>1</w:t>
      </w:r>
      <w:bookmarkEnd w:id="0"/>
      <w:bookmarkEnd w:id="1"/>
    </w:p>
    <w:p w14:paraId="37B9C312" w14:textId="77777777" w:rsidR="00EC58E3" w:rsidRPr="007C5955" w:rsidRDefault="00EC58E3" w:rsidP="00EC58E3">
      <w:r w:rsidRPr="007C5955">
        <w:t>Following solution considerations will be considered for the normative work for KI #</w:t>
      </w:r>
      <w:r w:rsidRPr="007C5955">
        <w:rPr>
          <w:lang w:val="en-US"/>
        </w:rPr>
        <w:t>1</w:t>
      </w:r>
      <w:r w:rsidRPr="007C5955">
        <w:t>:</w:t>
      </w:r>
    </w:p>
    <w:p w14:paraId="6C7D69D2" w14:textId="77777777" w:rsidR="00EC58E3" w:rsidRPr="007C5955" w:rsidRDefault="00EC58E3" w:rsidP="00EC58E3">
      <w:pPr>
        <w:pStyle w:val="EditorsNote"/>
      </w:pPr>
      <w:r w:rsidRPr="007C5955">
        <w:t>Editor’s Note: Solution</w:t>
      </w:r>
      <w:r>
        <w:t> </w:t>
      </w:r>
      <w:r w:rsidRPr="007C5955">
        <w:t>#1 and Solution</w:t>
      </w:r>
      <w:r>
        <w:t> </w:t>
      </w:r>
      <w:r w:rsidRPr="007C5955">
        <w:t>#17 will be concluded upon completing the respective solution evaluations.</w:t>
      </w:r>
    </w:p>
    <w:p w14:paraId="4E25C3C1" w14:textId="77777777" w:rsidR="00EC58E3" w:rsidRPr="00787195" w:rsidRDefault="00EC58E3" w:rsidP="00EC58E3">
      <w:pPr>
        <w:pStyle w:val="Heading2"/>
      </w:pPr>
      <w:bookmarkStart w:id="2" w:name="_Toc214968183"/>
      <w:bookmarkStart w:id="3" w:name="_Toc215591776"/>
      <w:r w:rsidRPr="00787195">
        <w:t>11.6</w:t>
      </w:r>
      <w:r w:rsidRPr="00787195">
        <w:tab/>
        <w:t>Conclusions of key issue</w:t>
      </w:r>
      <w:r w:rsidRPr="0024723B">
        <w:t> </w:t>
      </w:r>
      <w:r w:rsidRPr="00787195">
        <w:t>#5</w:t>
      </w:r>
      <w:bookmarkEnd w:id="2"/>
      <w:bookmarkEnd w:id="3"/>
    </w:p>
    <w:p w14:paraId="19D39FA7" w14:textId="77777777" w:rsidR="00EC58E3" w:rsidRDefault="00EC58E3" w:rsidP="00EC58E3">
      <w:pPr>
        <w:pStyle w:val="EditorsNote"/>
        <w:rPr>
          <w:rStyle w:val="Emphasis"/>
          <w:i w:val="0"/>
          <w:iCs w:val="0"/>
        </w:rPr>
      </w:pPr>
      <w:r w:rsidRPr="00787195">
        <w:rPr>
          <w:rStyle w:val="Emphasis"/>
        </w:rPr>
        <w:t>Editor’s Note: Conclusion of this Key Issue requires evaluation of Solution</w:t>
      </w:r>
      <w:r>
        <w:rPr>
          <w:rStyle w:val="Emphasis"/>
        </w:rPr>
        <w:t> </w:t>
      </w:r>
      <w:r w:rsidRPr="00787195">
        <w:rPr>
          <w:rStyle w:val="Emphasis"/>
        </w:rPr>
        <w:t>#25 and elaboration of the proposed enhancement of AIMLE / ADAES to support this solution</w:t>
      </w:r>
    </w:p>
    <w:p w14:paraId="4FB5547A" w14:textId="77777777" w:rsidR="00EC58E3" w:rsidRDefault="00EC58E3">
      <w:pPr>
        <w:rPr>
          <w:i/>
        </w:rPr>
      </w:pPr>
    </w:p>
    <w:p w14:paraId="79DD2DF7" w14:textId="695D5BC7" w:rsidR="00C022E3" w:rsidRDefault="00C022E3">
      <w:pPr>
        <w:pStyle w:val="Heading1"/>
      </w:pPr>
      <w:r>
        <w:lastRenderedPageBreak/>
        <w:t>4</w:t>
      </w:r>
      <w:r>
        <w:tab/>
      </w:r>
      <w:r w:rsidR="00EC58E3">
        <w:t>Conclusion</w:t>
      </w:r>
    </w:p>
    <w:p w14:paraId="03D831C4" w14:textId="302658E9" w:rsidR="000A27E3" w:rsidRDefault="00435B9D" w:rsidP="000A27E3">
      <w:r>
        <w:t xml:space="preserve">Based on the rationale provided in Clause 3, it is proposed to update ‘Clause 5 </w:t>
      </w:r>
      <w:r w:rsidRPr="00435B9D">
        <w:t>Expected Output and Time scale</w:t>
      </w:r>
      <w:r>
        <w:t xml:space="preserve">’ of </w:t>
      </w:r>
      <w:r>
        <w:rPr>
          <w:lang w:val="fr-FR"/>
        </w:rPr>
        <w:t xml:space="preserve">FS_AIMLE_SEC SID </w:t>
      </w:r>
      <w:proofErr w:type="spellStart"/>
      <w:r>
        <w:rPr>
          <w:lang w:val="fr-FR"/>
        </w:rPr>
        <w:t>proposal</w:t>
      </w:r>
      <w:proofErr w:type="spellEnd"/>
      <w:r>
        <w:t xml:space="preserve"> to extend the TSG info and approval of TR 33.786 respectively.</w:t>
      </w:r>
    </w:p>
    <w:p w14:paraId="17F9EE4B" w14:textId="77777777" w:rsidR="000A27E3" w:rsidRPr="007A67CC" w:rsidRDefault="000A27E3" w:rsidP="000A27E3"/>
    <w:p w14:paraId="35394F26" w14:textId="61BBFCA5" w:rsidR="00C022E3" w:rsidRDefault="00C022E3" w:rsidP="000A27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3ACF0" w14:textId="77777777" w:rsidR="00907F73" w:rsidRDefault="00907F73">
      <w:r>
        <w:separator/>
      </w:r>
    </w:p>
  </w:endnote>
  <w:endnote w:type="continuationSeparator" w:id="0">
    <w:p w14:paraId="7B320509" w14:textId="77777777" w:rsidR="00907F73" w:rsidRDefault="0090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9285E" w14:textId="77777777" w:rsidR="00907F73" w:rsidRDefault="00907F73">
      <w:r>
        <w:separator/>
      </w:r>
    </w:p>
  </w:footnote>
  <w:footnote w:type="continuationSeparator" w:id="0">
    <w:p w14:paraId="4D6EFFE5" w14:textId="77777777" w:rsidR="00907F73" w:rsidRDefault="00907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4276"/>
    <w:rsid w:val="00067A9C"/>
    <w:rsid w:val="00074722"/>
    <w:rsid w:val="000819D8"/>
    <w:rsid w:val="000934A6"/>
    <w:rsid w:val="000A27E3"/>
    <w:rsid w:val="000A2C6C"/>
    <w:rsid w:val="000A4660"/>
    <w:rsid w:val="000B1F1D"/>
    <w:rsid w:val="000D1B5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2D3FD6"/>
    <w:rsid w:val="00300A64"/>
    <w:rsid w:val="0030628A"/>
    <w:rsid w:val="00343D42"/>
    <w:rsid w:val="0035122B"/>
    <w:rsid w:val="00353451"/>
    <w:rsid w:val="00356EAE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7E89"/>
    <w:rsid w:val="00413068"/>
    <w:rsid w:val="00435B9D"/>
    <w:rsid w:val="004363BC"/>
    <w:rsid w:val="00440414"/>
    <w:rsid w:val="0044154B"/>
    <w:rsid w:val="004558E9"/>
    <w:rsid w:val="0045777E"/>
    <w:rsid w:val="0048135E"/>
    <w:rsid w:val="004959AC"/>
    <w:rsid w:val="004B1851"/>
    <w:rsid w:val="004B3753"/>
    <w:rsid w:val="004C31D2"/>
    <w:rsid w:val="004D55C2"/>
    <w:rsid w:val="004F3275"/>
    <w:rsid w:val="00521131"/>
    <w:rsid w:val="00527C0B"/>
    <w:rsid w:val="005410F6"/>
    <w:rsid w:val="0054381F"/>
    <w:rsid w:val="005729C4"/>
    <w:rsid w:val="00575466"/>
    <w:rsid w:val="005769DE"/>
    <w:rsid w:val="0058708B"/>
    <w:rsid w:val="0059227B"/>
    <w:rsid w:val="005B0966"/>
    <w:rsid w:val="005B5529"/>
    <w:rsid w:val="005B795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75B3C"/>
    <w:rsid w:val="006806CE"/>
    <w:rsid w:val="0069495C"/>
    <w:rsid w:val="006A0F8B"/>
    <w:rsid w:val="006D340A"/>
    <w:rsid w:val="006D4A9E"/>
    <w:rsid w:val="006F1ABF"/>
    <w:rsid w:val="006F1D0F"/>
    <w:rsid w:val="00715A1D"/>
    <w:rsid w:val="0074137E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A65F6"/>
    <w:rsid w:val="008B0248"/>
    <w:rsid w:val="008C128B"/>
    <w:rsid w:val="008D56D9"/>
    <w:rsid w:val="008F5F33"/>
    <w:rsid w:val="00907F7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C394F"/>
    <w:rsid w:val="00A0116C"/>
    <w:rsid w:val="00A37D7F"/>
    <w:rsid w:val="00A4389D"/>
    <w:rsid w:val="00A46410"/>
    <w:rsid w:val="00A57688"/>
    <w:rsid w:val="00A622BE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1444E"/>
    <w:rsid w:val="00D2447C"/>
    <w:rsid w:val="00D261CA"/>
    <w:rsid w:val="00D33604"/>
    <w:rsid w:val="00D373F3"/>
    <w:rsid w:val="00D37B08"/>
    <w:rsid w:val="00D42490"/>
    <w:rsid w:val="00D437FF"/>
    <w:rsid w:val="00D5130C"/>
    <w:rsid w:val="00D60558"/>
    <w:rsid w:val="00D62265"/>
    <w:rsid w:val="00D8512E"/>
    <w:rsid w:val="00DA1E58"/>
    <w:rsid w:val="00DE4EF2"/>
    <w:rsid w:val="00DF2C0E"/>
    <w:rsid w:val="00E04DB6"/>
    <w:rsid w:val="00E06FFB"/>
    <w:rsid w:val="00E1773F"/>
    <w:rsid w:val="00E17D2C"/>
    <w:rsid w:val="00E30155"/>
    <w:rsid w:val="00E348CA"/>
    <w:rsid w:val="00E66328"/>
    <w:rsid w:val="00E70EE5"/>
    <w:rsid w:val="00E84460"/>
    <w:rsid w:val="00E91FE1"/>
    <w:rsid w:val="00EA5E95"/>
    <w:rsid w:val="00EC5299"/>
    <w:rsid w:val="00EC58E3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C58E3"/>
    <w:rPr>
      <w:rFonts w:ascii="Times New Roman" w:hAnsi="Times New Roman"/>
      <w:color w:val="FF0000"/>
      <w:lang w:eastAsia="en-US"/>
    </w:rPr>
  </w:style>
  <w:style w:type="character" w:styleId="Emphasis">
    <w:name w:val="Emphasis"/>
    <w:basedOn w:val="DefaultParagraphFont"/>
    <w:qFormat/>
    <w:rsid w:val="00EC58E3"/>
    <w:rPr>
      <w:i/>
      <w:iCs/>
    </w:rPr>
  </w:style>
  <w:style w:type="character" w:customStyle="1" w:styleId="EditorsNoteCharChar">
    <w:name w:val="Editor's Note Char Char"/>
    <w:rsid w:val="00EC58E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490</Words>
  <Characters>2556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19</cp:revision>
  <cp:lastPrinted>1900-01-01T06:00:00Z</cp:lastPrinted>
  <dcterms:created xsi:type="dcterms:W3CDTF">2026-01-28T11:31:00Z</dcterms:created>
  <dcterms:modified xsi:type="dcterms:W3CDTF">2026-01-30T16:51:00Z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